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0"/>
        <w:tblW w:w="0" w:type="auto"/>
        <w:tblLook w:val="04A0" w:firstRow="1" w:lastRow="0" w:firstColumn="1" w:lastColumn="0" w:noHBand="0" w:noVBand="1"/>
      </w:tblPr>
      <w:tblGrid>
        <w:gridCol w:w="1992"/>
        <w:gridCol w:w="7579"/>
      </w:tblGrid>
      <w:tr w:rsidR="00BB66B0" w:rsidRPr="00B402AF" w:rsidTr="00BB66B0">
        <w:trPr>
          <w:cantSplit/>
        </w:trPr>
        <w:tc>
          <w:tcPr>
            <w:tcW w:w="1992" w:type="dxa"/>
            <w:vMerge w:val="restart"/>
            <w:hideMark/>
          </w:tcPr>
          <w:p w:rsidR="00BB66B0" w:rsidRPr="00B402AF" w:rsidRDefault="00BB66B0" w:rsidP="00B402A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402AF">
              <w:rPr>
                <w:noProof/>
                <w:sz w:val="28"/>
                <w:szCs w:val="28"/>
              </w:rPr>
              <w:drawing>
                <wp:inline distT="0" distB="0" distL="0" distR="0" wp14:anchorId="790CFB3C" wp14:editId="020F2955">
                  <wp:extent cx="108585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9" w:type="dxa"/>
          </w:tcPr>
          <w:p w:rsidR="00BB66B0" w:rsidRPr="00B402AF" w:rsidRDefault="00BB66B0" w:rsidP="00B402A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66B0" w:rsidRPr="00B402AF" w:rsidTr="00BB66B0">
        <w:trPr>
          <w:cantSplit/>
        </w:trPr>
        <w:tc>
          <w:tcPr>
            <w:tcW w:w="0" w:type="auto"/>
            <w:vMerge/>
            <w:vAlign w:val="center"/>
            <w:hideMark/>
          </w:tcPr>
          <w:p w:rsidR="00BB66B0" w:rsidRPr="00B402AF" w:rsidRDefault="00BB66B0" w:rsidP="00B402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9" w:type="dxa"/>
          </w:tcPr>
          <w:p w:rsidR="00BB66B0" w:rsidRPr="00B402AF" w:rsidRDefault="00BB66B0" w:rsidP="00B402A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66B0" w:rsidRPr="00B402AF" w:rsidTr="00BB66B0">
        <w:trPr>
          <w:cantSplit/>
        </w:trPr>
        <w:tc>
          <w:tcPr>
            <w:tcW w:w="0" w:type="auto"/>
            <w:vMerge/>
            <w:vAlign w:val="center"/>
            <w:hideMark/>
          </w:tcPr>
          <w:p w:rsidR="00BB66B0" w:rsidRPr="00B402AF" w:rsidRDefault="00BB66B0" w:rsidP="00B402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9" w:type="dxa"/>
            <w:hideMark/>
          </w:tcPr>
          <w:p w:rsidR="00BB66B0" w:rsidRPr="00B402AF" w:rsidRDefault="00BB66B0" w:rsidP="00B402A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402AF">
              <w:rPr>
                <w:sz w:val="28"/>
                <w:szCs w:val="28"/>
              </w:rPr>
              <w:t xml:space="preserve">Региональный </w:t>
            </w:r>
            <w:r w:rsidR="00153C4C" w:rsidRPr="00B402AF">
              <w:rPr>
                <w:sz w:val="28"/>
                <w:szCs w:val="28"/>
              </w:rPr>
              <w:t xml:space="preserve">благотворительный </w:t>
            </w:r>
            <w:r w:rsidRPr="00B402AF">
              <w:rPr>
                <w:sz w:val="28"/>
                <w:szCs w:val="28"/>
              </w:rPr>
              <w:t>общественный фонд</w:t>
            </w:r>
          </w:p>
        </w:tc>
      </w:tr>
      <w:tr w:rsidR="00BB66B0" w:rsidRPr="00B402AF" w:rsidTr="00BB66B0">
        <w:trPr>
          <w:cantSplit/>
        </w:trPr>
        <w:tc>
          <w:tcPr>
            <w:tcW w:w="0" w:type="auto"/>
            <w:vMerge/>
            <w:vAlign w:val="center"/>
            <w:hideMark/>
          </w:tcPr>
          <w:p w:rsidR="00BB66B0" w:rsidRPr="00B402AF" w:rsidRDefault="00BB66B0" w:rsidP="00B402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66B0" w:rsidRPr="00B402AF" w:rsidRDefault="00BB66B0" w:rsidP="00B402AF">
            <w:pPr>
              <w:pStyle w:val="a3"/>
              <w:spacing w:line="276" w:lineRule="auto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 w:rsidRPr="00B402AF">
              <w:rPr>
                <w:b/>
                <w:bCs/>
                <w:spacing w:val="-20"/>
                <w:sz w:val="28"/>
                <w:szCs w:val="28"/>
              </w:rPr>
              <w:t>«РУССКОЕ ИСПОЛНИТЕЛЬСКОЕ ИСКУССТВО»</w:t>
            </w:r>
          </w:p>
        </w:tc>
      </w:tr>
      <w:tr w:rsidR="00BB66B0" w:rsidRPr="006F536A" w:rsidTr="00BB66B0">
        <w:trPr>
          <w:trHeight w:val="576"/>
        </w:trPr>
        <w:tc>
          <w:tcPr>
            <w:tcW w:w="1992" w:type="dxa"/>
          </w:tcPr>
          <w:p w:rsidR="00BB66B0" w:rsidRPr="00B402AF" w:rsidRDefault="00BB66B0" w:rsidP="00B402A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66B0" w:rsidRPr="00514E2E" w:rsidRDefault="00BB66B0" w:rsidP="006F536A">
            <w:pPr>
              <w:pStyle w:val="a3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402AF">
              <w:rPr>
                <w:i/>
                <w:iCs/>
                <w:sz w:val="28"/>
                <w:szCs w:val="28"/>
              </w:rPr>
              <w:t>109147, Москва, ул.</w:t>
            </w:r>
            <w:r w:rsidR="00FC0E90" w:rsidRPr="00B402AF">
              <w:rPr>
                <w:i/>
                <w:iCs/>
                <w:sz w:val="28"/>
                <w:szCs w:val="28"/>
              </w:rPr>
              <w:t xml:space="preserve"> </w:t>
            </w:r>
            <w:r w:rsidR="001648F2" w:rsidRPr="00B402AF">
              <w:rPr>
                <w:i/>
                <w:iCs/>
                <w:sz w:val="28"/>
                <w:szCs w:val="28"/>
              </w:rPr>
              <w:t>Марксистская, д.</w:t>
            </w:r>
            <w:r w:rsidRPr="00B402AF">
              <w:rPr>
                <w:i/>
                <w:iCs/>
                <w:sz w:val="28"/>
                <w:szCs w:val="28"/>
              </w:rPr>
              <w:t xml:space="preserve"> 36.</w:t>
            </w:r>
            <w:r w:rsidRPr="00B402AF">
              <w:rPr>
                <w:i/>
                <w:iCs/>
                <w:sz w:val="28"/>
                <w:szCs w:val="28"/>
              </w:rPr>
              <w:br/>
            </w:r>
            <w:r w:rsidRPr="00B402AF">
              <w:rPr>
                <w:i/>
                <w:iCs/>
                <w:sz w:val="28"/>
                <w:szCs w:val="28"/>
                <w:lang w:val="en-US"/>
              </w:rPr>
              <w:t>Tel</w:t>
            </w:r>
            <w:r w:rsidR="00FC0E90" w:rsidRPr="00514E2E">
              <w:rPr>
                <w:i/>
                <w:iCs/>
                <w:sz w:val="28"/>
                <w:szCs w:val="28"/>
              </w:rPr>
              <w:t>.: +7(495)911-96-05</w:t>
            </w:r>
            <w:r w:rsidRPr="00514E2E">
              <w:rPr>
                <w:i/>
                <w:iCs/>
                <w:sz w:val="28"/>
                <w:szCs w:val="28"/>
              </w:rPr>
              <w:t>,</w:t>
            </w:r>
            <w:r w:rsidRPr="00514E2E">
              <w:rPr>
                <w:sz w:val="28"/>
                <w:szCs w:val="28"/>
              </w:rPr>
              <w:t xml:space="preserve"> </w:t>
            </w:r>
            <w:r w:rsidRPr="00B402AF">
              <w:rPr>
                <w:i/>
                <w:iCs/>
                <w:sz w:val="28"/>
                <w:szCs w:val="28"/>
                <w:lang w:val="en-US"/>
              </w:rPr>
              <w:t>e</w:t>
            </w:r>
            <w:r w:rsidRPr="00514E2E">
              <w:rPr>
                <w:i/>
                <w:iCs/>
                <w:sz w:val="28"/>
                <w:szCs w:val="28"/>
              </w:rPr>
              <w:t>-</w:t>
            </w:r>
            <w:r w:rsidRPr="00B402AF">
              <w:rPr>
                <w:i/>
                <w:iCs/>
                <w:sz w:val="28"/>
                <w:szCs w:val="28"/>
                <w:lang w:val="en-US"/>
              </w:rPr>
              <w:t>mail</w:t>
            </w:r>
            <w:r w:rsidRPr="00514E2E">
              <w:rPr>
                <w:i/>
                <w:iCs/>
                <w:sz w:val="28"/>
                <w:szCs w:val="28"/>
              </w:rPr>
              <w:t xml:space="preserve">: </w:t>
            </w:r>
            <w:hyperlink r:id="rId7" w:history="1">
              <w:r w:rsidR="001648F2" w:rsidRPr="00B402AF">
                <w:rPr>
                  <w:rStyle w:val="a9"/>
                  <w:i/>
                  <w:iCs/>
                  <w:sz w:val="28"/>
                  <w:szCs w:val="28"/>
                  <w:lang w:val="en-US"/>
                </w:rPr>
                <w:t>fondrii</w:t>
              </w:r>
              <w:r w:rsidR="001648F2" w:rsidRPr="00514E2E">
                <w:rPr>
                  <w:rStyle w:val="a9"/>
                  <w:i/>
                  <w:iCs/>
                  <w:sz w:val="28"/>
                  <w:szCs w:val="28"/>
                </w:rPr>
                <w:t>@</w:t>
              </w:r>
              <w:r w:rsidR="001648F2" w:rsidRPr="00B402AF">
                <w:rPr>
                  <w:rStyle w:val="a9"/>
                  <w:i/>
                  <w:iCs/>
                  <w:sz w:val="28"/>
                  <w:szCs w:val="28"/>
                  <w:lang w:val="en-US"/>
                </w:rPr>
                <w:t>mail</w:t>
              </w:r>
              <w:r w:rsidR="001648F2" w:rsidRPr="00514E2E">
                <w:rPr>
                  <w:rStyle w:val="a9"/>
                  <w:i/>
                  <w:iCs/>
                  <w:sz w:val="28"/>
                  <w:szCs w:val="28"/>
                </w:rPr>
                <w:t>.</w:t>
              </w:r>
              <w:r w:rsidR="001648F2" w:rsidRPr="00B402AF">
                <w:rPr>
                  <w:rStyle w:val="a9"/>
                  <w:i/>
                  <w:iCs/>
                  <w:sz w:val="28"/>
                  <w:szCs w:val="28"/>
                  <w:lang w:val="en-US"/>
                </w:rPr>
                <w:t>ru</w:t>
              </w:r>
            </w:hyperlink>
            <w:r w:rsidR="001648F2" w:rsidRPr="00514E2E">
              <w:rPr>
                <w:i/>
                <w:iCs/>
                <w:sz w:val="28"/>
                <w:szCs w:val="28"/>
              </w:rPr>
              <w:t xml:space="preserve">; </w:t>
            </w:r>
            <w:r w:rsidR="00FF7672" w:rsidRPr="00514E2E">
              <w:rPr>
                <w:i/>
                <w:iCs/>
                <w:sz w:val="28"/>
                <w:szCs w:val="28"/>
              </w:rPr>
              <w:t xml:space="preserve"> </w:t>
            </w:r>
            <w:r w:rsidR="00FF7672" w:rsidRPr="00B402AF">
              <w:rPr>
                <w:i/>
                <w:iCs/>
                <w:sz w:val="28"/>
                <w:szCs w:val="28"/>
                <w:lang w:val="en-US"/>
              </w:rPr>
              <w:t>www</w:t>
            </w:r>
            <w:r w:rsidR="00FF7672" w:rsidRPr="00514E2E">
              <w:rPr>
                <w:i/>
                <w:iCs/>
                <w:sz w:val="28"/>
                <w:szCs w:val="28"/>
              </w:rPr>
              <w:t>.</w:t>
            </w:r>
            <w:r w:rsidR="00FF7672" w:rsidRPr="00B402AF">
              <w:rPr>
                <w:i/>
                <w:iCs/>
                <w:sz w:val="28"/>
                <w:szCs w:val="28"/>
                <w:lang w:val="en-US"/>
              </w:rPr>
              <w:t>fondrii</w:t>
            </w:r>
            <w:r w:rsidR="001648F2" w:rsidRPr="00514E2E">
              <w:rPr>
                <w:i/>
                <w:iCs/>
                <w:sz w:val="28"/>
                <w:szCs w:val="28"/>
              </w:rPr>
              <w:t>.</w:t>
            </w:r>
            <w:r w:rsidR="001648F2" w:rsidRPr="00B402AF">
              <w:rPr>
                <w:i/>
                <w:iCs/>
                <w:sz w:val="28"/>
                <w:szCs w:val="28"/>
                <w:lang w:val="en-US"/>
              </w:rPr>
              <w:t>ru</w:t>
            </w:r>
            <w:r w:rsidRPr="00514E2E">
              <w:rPr>
                <w:i/>
                <w:iCs/>
                <w:sz w:val="28"/>
                <w:szCs w:val="28"/>
              </w:rPr>
              <w:tab/>
            </w:r>
          </w:p>
        </w:tc>
      </w:tr>
    </w:tbl>
    <w:p w:rsidR="00EB5030" w:rsidRPr="00AB27BD" w:rsidRDefault="00EB5030" w:rsidP="0044531D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44531D" w:rsidRPr="002A1212" w:rsidRDefault="004741C1" w:rsidP="0044531D">
      <w:pPr>
        <w:spacing w:after="0"/>
        <w:ind w:firstLine="708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2A121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Всероссийский конкурс-фестиваль «Золотые таланты России»</w:t>
      </w:r>
      <w:r w:rsidR="006E1F57" w:rsidRPr="002A121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, посвященный 100-летию ГМПИ имени М.М. Ипполитова-Иванова</w:t>
      </w:r>
      <w:r w:rsidR="00521AB5" w:rsidRPr="002A121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,</w:t>
      </w:r>
      <w:r w:rsidRPr="002A121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пройдет </w:t>
      </w:r>
      <w:r w:rsidR="0044531D" w:rsidRPr="002A121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 2 октября по 2</w:t>
      </w:r>
      <w:r w:rsidR="00091D3F" w:rsidRPr="002A121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2</w:t>
      </w:r>
      <w:r w:rsidR="0044531D" w:rsidRPr="002A121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ноября 2020 года</w:t>
      </w:r>
      <w:r w:rsidR="0044531D" w:rsidRPr="002A1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2A121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в нескольких российских городах.</w:t>
      </w:r>
      <w:r w:rsidR="0044531D" w:rsidRPr="002A121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</w:p>
    <w:p w:rsidR="0044531D" w:rsidRPr="002A1212" w:rsidRDefault="0044531D" w:rsidP="0044531D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Конкурс–фестиваль организуется Фондом «Русское исполнительское искусство» </w:t>
      </w:r>
      <w:r w:rsidR="00F0620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при партнерском участии </w:t>
      </w: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ГМПИ имени М.М. Ипполитова-Иванова  </w:t>
      </w:r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при поддержке ООГО "Российский фонд культуры" </w:t>
      </w: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в рамках</w:t>
      </w:r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проекта «Творческие люди» национального проекта «Культура».</w:t>
      </w:r>
    </w:p>
    <w:p w:rsidR="004741C1" w:rsidRPr="002A1212" w:rsidRDefault="004741C1" w:rsidP="004741C1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Идея конкурса родилась в начале 2000-х годов. С 2002 по 2009 год фондом «Русское исполнительское искусство» осуществлялась самая крупная в стране негосударственная </w:t>
      </w:r>
      <w:proofErr w:type="spellStart"/>
      <w:r w:rsidRPr="002A1212">
        <w:rPr>
          <w:rFonts w:ascii="Times New Roman" w:eastAsia="Calibri" w:hAnsi="Times New Roman"/>
          <w:sz w:val="26"/>
          <w:szCs w:val="26"/>
          <w:lang w:eastAsia="en-US"/>
        </w:rPr>
        <w:t>стипендиально</w:t>
      </w:r>
      <w:proofErr w:type="spellEnd"/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-премиальная программа «Золотой талант». За время действия программы получили поддержку более трех тысяч молодых музыкантов и талантливых педагогов из России и стран СНГ. Более четырехсот из них стали лауреатами международных конкурсов, многие приобрели мировую известность. Достаточно назвать имена Александра </w:t>
      </w:r>
      <w:proofErr w:type="spellStart"/>
      <w:r w:rsidRPr="002A1212">
        <w:rPr>
          <w:rFonts w:ascii="Times New Roman" w:eastAsia="Calibri" w:hAnsi="Times New Roman"/>
          <w:sz w:val="26"/>
          <w:szCs w:val="26"/>
          <w:lang w:eastAsia="en-US"/>
        </w:rPr>
        <w:t>Бузлова</w:t>
      </w:r>
      <w:proofErr w:type="spellEnd"/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, Бориса Андрианова, Дениса </w:t>
      </w:r>
      <w:proofErr w:type="spellStart"/>
      <w:r w:rsidRPr="002A1212">
        <w:rPr>
          <w:rFonts w:ascii="Times New Roman" w:eastAsia="Calibri" w:hAnsi="Times New Roman"/>
          <w:sz w:val="26"/>
          <w:szCs w:val="26"/>
          <w:lang w:eastAsia="en-US"/>
        </w:rPr>
        <w:t>Шаповалова</w:t>
      </w:r>
      <w:proofErr w:type="spellEnd"/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, Никиты Борисоглебского, Алены Баевой, Айдара </w:t>
      </w:r>
      <w:proofErr w:type="spellStart"/>
      <w:r w:rsidRPr="002A1212">
        <w:rPr>
          <w:rFonts w:ascii="Times New Roman" w:eastAsia="Calibri" w:hAnsi="Times New Roman"/>
          <w:sz w:val="26"/>
          <w:szCs w:val="26"/>
          <w:lang w:eastAsia="en-US"/>
        </w:rPr>
        <w:t>Гайнуллина</w:t>
      </w:r>
      <w:proofErr w:type="spellEnd"/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, Павла Уханова и многих других. Стипендиатами программы были также победители телевизионного музыкального конкурса «Щелкунчик» и многих других международных и всероссийских конкурсов. </w:t>
      </w:r>
    </w:p>
    <w:p w:rsidR="004741C1" w:rsidRPr="002A1212" w:rsidRDefault="004741C1" w:rsidP="004741C1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На основе конкурсного отбора в рамках программы «Золотой талант» лучшие музыканты сезона принимали участие в  ежегодном концерте «Новый век исполнительского искусства», который проходил в Большом зале Московской консерватории, в сопровождении Московского молодежного камерного оркестра под управлением Валерия Вороны и оркестра «Солисты Москвы» под управлением Юрия </w:t>
      </w:r>
      <w:proofErr w:type="spellStart"/>
      <w:r w:rsidRPr="002A1212">
        <w:rPr>
          <w:rFonts w:ascii="Times New Roman" w:eastAsia="Calibri" w:hAnsi="Times New Roman"/>
          <w:sz w:val="26"/>
          <w:szCs w:val="26"/>
          <w:lang w:eastAsia="en-US"/>
        </w:rPr>
        <w:t>Башмета</w:t>
      </w:r>
      <w:proofErr w:type="spellEnd"/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. Стипендиаты программы постоянно участвовали в концертах «Будущее большой музыки» на ежегодном фестивале российско-итальянской культуры «Очи черные» в г. </w:t>
      </w:r>
      <w:proofErr w:type="spellStart"/>
      <w:r w:rsidRPr="002A1212">
        <w:rPr>
          <w:rFonts w:ascii="Times New Roman" w:eastAsia="Calibri" w:hAnsi="Times New Roman"/>
          <w:sz w:val="26"/>
          <w:szCs w:val="26"/>
          <w:lang w:eastAsia="en-US"/>
        </w:rPr>
        <w:t>Монтекатини</w:t>
      </w:r>
      <w:proofErr w:type="spellEnd"/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 Терме (Италия). </w:t>
      </w:r>
    </w:p>
    <w:p w:rsidR="004741C1" w:rsidRPr="002A1212" w:rsidRDefault="004741C1" w:rsidP="004741C1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1212">
        <w:rPr>
          <w:rFonts w:ascii="Times New Roman" w:eastAsia="Calibri" w:hAnsi="Times New Roman"/>
          <w:sz w:val="26"/>
          <w:szCs w:val="26"/>
          <w:lang w:eastAsia="en-US"/>
        </w:rPr>
        <w:t>Позднее проект нашел свое продолжение в Международном конкурсе исполнительского искусства «Золотые таланты Содружества», который в течение семи лет, до 2017 года проходил в г. Железногорске Курской области при поддержке администрации Полномочного представителя Президента РФ в Центральном ФО.</w:t>
      </w:r>
    </w:p>
    <w:p w:rsidR="004741C1" w:rsidRPr="002A1212" w:rsidRDefault="004741C1" w:rsidP="004741C1">
      <w:pPr>
        <w:spacing w:after="0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А в 2020 году проект получил грант «Российского фонда культуры» уже в новом качестве </w:t>
      </w:r>
      <w:r w:rsidRPr="002A1212">
        <w:rPr>
          <w:rFonts w:ascii="Times New Roman" w:eastAsia="Calibri" w:hAnsi="Times New Roman"/>
          <w:b/>
          <w:sz w:val="26"/>
          <w:szCs w:val="26"/>
          <w:lang w:eastAsia="en-US"/>
        </w:rPr>
        <w:t>Всероссийского конкурса-фестиваля «Золотые таланты России»</w:t>
      </w:r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. Отборочные и </w:t>
      </w:r>
      <w:proofErr w:type="gramStart"/>
      <w:r w:rsidRPr="002A1212">
        <w:rPr>
          <w:rFonts w:ascii="Times New Roman" w:eastAsia="Calibri" w:hAnsi="Times New Roman"/>
          <w:sz w:val="26"/>
          <w:szCs w:val="26"/>
          <w:lang w:eastAsia="en-US"/>
        </w:rPr>
        <w:t>финальный</w:t>
      </w:r>
      <w:proofErr w:type="gramEnd"/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 туры конкурса пройдут в разных городах нашей страны и охватят все ее регионы.</w:t>
      </w: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</w:p>
    <w:p w:rsidR="004741C1" w:rsidRPr="002A1212" w:rsidRDefault="004741C1" w:rsidP="004741C1">
      <w:pPr>
        <w:spacing w:after="0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 xml:space="preserve">Отборочный тур в Сургуте (для участников из Дальневосточного и Сибирского ФО) состоится 2,3 октября 2020 г., в Твери (Центральный и Северо-Западный ФО) - 10, 11 октября 2020 г.,  в Чебоксарах (Уральский и Приволжский ФО) - 20, 21 октября 2020 г.,  </w:t>
      </w: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ab/>
        <w:t>в Севастополе (Северо-Кавказский и Южный ФО) - 29, 30 октября 2020 г.</w:t>
      </w:r>
    </w:p>
    <w:p w:rsidR="002A1212" w:rsidRPr="002A1212" w:rsidRDefault="002A1212" w:rsidP="002A1212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A1212">
        <w:rPr>
          <w:rFonts w:ascii="Times New Roman" w:hAnsi="Times New Roman"/>
          <w:sz w:val="26"/>
          <w:szCs w:val="26"/>
        </w:rPr>
        <w:t xml:space="preserve">В целях соблюдения мер по предотвращению распространения </w:t>
      </w:r>
      <w:proofErr w:type="spellStart"/>
      <w:r w:rsidRPr="002A1212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2A1212">
        <w:rPr>
          <w:rFonts w:ascii="Times New Roman" w:hAnsi="Times New Roman"/>
          <w:sz w:val="26"/>
          <w:szCs w:val="26"/>
        </w:rPr>
        <w:t xml:space="preserve"> инфекции COVID-19 Оргкомитет конкурса принял решение о </w:t>
      </w:r>
      <w:r w:rsidRPr="002A1212">
        <w:rPr>
          <w:rFonts w:ascii="Times New Roman" w:hAnsi="Times New Roman"/>
          <w:b/>
          <w:sz w:val="26"/>
          <w:szCs w:val="26"/>
        </w:rPr>
        <w:t>дистанционном проведении региональных отборочных туров на основе присланных участниками видеозаписей.</w:t>
      </w:r>
    </w:p>
    <w:p w:rsidR="004741C1" w:rsidRPr="00D33445" w:rsidRDefault="004741C1" w:rsidP="004741C1">
      <w:pPr>
        <w:spacing w:after="0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2A121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Финальный тур пройдет в </w:t>
      </w:r>
      <w:r w:rsidR="002A1212" w:rsidRPr="002A121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формате очных прослушиваний </w:t>
      </w:r>
      <w:r w:rsidR="002A1212" w:rsidRPr="00D3344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</w:t>
      </w:r>
      <w:r w:rsidRPr="00D33445">
        <w:rPr>
          <w:rFonts w:ascii="Times New Roman" w:eastAsia="Calibri" w:hAnsi="Times New Roman"/>
          <w:bCs/>
          <w:sz w:val="26"/>
          <w:szCs w:val="26"/>
          <w:lang w:eastAsia="en-US"/>
        </w:rPr>
        <w:t>Москве  20, 21 ноября 2020 г. А</w:t>
      </w: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22 ноября 2020 года в Рахманиновском зале Московской консерватории победители конкурса выступят на </w:t>
      </w:r>
      <w:r w:rsidRPr="00D3344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заключительном Гала-концерте. </w:t>
      </w:r>
    </w:p>
    <w:p w:rsidR="0044531D" w:rsidRPr="002A1212" w:rsidRDefault="00792C7B" w:rsidP="0044531D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К</w:t>
      </w:r>
      <w:r w:rsidR="004741C1"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онкурс проходит в номинациях </w:t>
      </w:r>
      <w:r w:rsidR="0044531D"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«Фортепиано»</w:t>
      </w:r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; </w:t>
      </w:r>
      <w:r w:rsidR="0044531D"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«Духовые и ударные инструменты»</w:t>
      </w:r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 (саксофон, труба, ударные инструменты);  </w:t>
      </w:r>
      <w:r w:rsidR="0044531D"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«Академическое пение»</w:t>
      </w:r>
      <w:r w:rsidR="004741C1"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трех возрастных группах</w:t>
      </w:r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:  учащиеся детских музыкальных школ и школ искусств (ДМШ и ДШИ); студенты средних учебных заведений, обучающиеся по программам СПО; студенты высших учебных заведений, обучающиеся по программам ВПО, </w:t>
      </w:r>
      <w:proofErr w:type="spellStart"/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>бакалавриата</w:t>
      </w:r>
      <w:proofErr w:type="spellEnd"/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, магистратуры и </w:t>
      </w:r>
      <w:proofErr w:type="spellStart"/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>ассистентуры</w:t>
      </w:r>
      <w:proofErr w:type="spellEnd"/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>-стажировки.</w:t>
      </w:r>
    </w:p>
    <w:p w:rsidR="002A1212" w:rsidRPr="002A1212" w:rsidRDefault="002A1212" w:rsidP="0044531D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1212">
        <w:rPr>
          <w:rFonts w:ascii="Times New Roman" w:eastAsia="Calibri" w:hAnsi="Times New Roman"/>
          <w:sz w:val="26"/>
          <w:szCs w:val="26"/>
          <w:lang w:eastAsia="en-US"/>
        </w:rPr>
        <w:t>В жюри конкурса вошли известные российские музыканты и педагоги</w:t>
      </w:r>
      <w:r w:rsidR="00792C7B">
        <w:rPr>
          <w:rFonts w:ascii="Times New Roman" w:eastAsia="Calibri" w:hAnsi="Times New Roman"/>
          <w:sz w:val="26"/>
          <w:szCs w:val="26"/>
          <w:lang w:eastAsia="en-US"/>
        </w:rPr>
        <w:t>:</w:t>
      </w:r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 народные артисты РФ Юрий </w:t>
      </w:r>
      <w:proofErr w:type="spellStart"/>
      <w:r w:rsidRPr="002A1212">
        <w:rPr>
          <w:rFonts w:ascii="Times New Roman" w:eastAsia="Calibri" w:hAnsi="Times New Roman"/>
          <w:sz w:val="26"/>
          <w:szCs w:val="26"/>
          <w:lang w:eastAsia="en-US"/>
        </w:rPr>
        <w:t>Слесарев</w:t>
      </w:r>
      <w:proofErr w:type="spellEnd"/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, Евгений Бражник; заслуженные артисты РФ Екатерина </w:t>
      </w:r>
      <w:proofErr w:type="spellStart"/>
      <w:r w:rsidRPr="002A1212">
        <w:rPr>
          <w:rFonts w:ascii="Times New Roman" w:eastAsia="Calibri" w:hAnsi="Times New Roman"/>
          <w:sz w:val="26"/>
          <w:szCs w:val="26"/>
          <w:lang w:eastAsia="en-US"/>
        </w:rPr>
        <w:t>Мечетина</w:t>
      </w:r>
      <w:proofErr w:type="spellEnd"/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, Елена Рихтер, Алексей Волков, Андрей </w:t>
      </w:r>
      <w:proofErr w:type="spellStart"/>
      <w:r w:rsidRPr="002A1212">
        <w:rPr>
          <w:rFonts w:ascii="Times New Roman" w:eastAsia="Calibri" w:hAnsi="Times New Roman"/>
          <w:sz w:val="26"/>
          <w:szCs w:val="26"/>
          <w:lang w:eastAsia="en-US"/>
        </w:rPr>
        <w:t>Иков</w:t>
      </w:r>
      <w:proofErr w:type="spellEnd"/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, Марина Шутова, Роман </w:t>
      </w:r>
      <w:proofErr w:type="spellStart"/>
      <w:r w:rsidRPr="002A1212">
        <w:rPr>
          <w:rFonts w:ascii="Times New Roman" w:eastAsia="Calibri" w:hAnsi="Times New Roman"/>
          <w:sz w:val="26"/>
          <w:szCs w:val="26"/>
          <w:lang w:eastAsia="en-US"/>
        </w:rPr>
        <w:t>Муравицкий</w:t>
      </w:r>
      <w:proofErr w:type="spellEnd"/>
      <w:r w:rsidRPr="002A1212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Pr="002A1212">
        <w:rPr>
          <w:sz w:val="26"/>
          <w:szCs w:val="26"/>
        </w:rPr>
        <w:t xml:space="preserve"> </w:t>
      </w:r>
      <w:r w:rsidRPr="002A1212">
        <w:rPr>
          <w:rFonts w:ascii="Times New Roman" w:eastAsia="Calibri" w:hAnsi="Times New Roman"/>
          <w:sz w:val="26"/>
          <w:szCs w:val="26"/>
          <w:lang w:eastAsia="en-US"/>
        </w:rPr>
        <w:t>генеральный директор Российского национального музея музыки, заслуженный деятель искусств РФ Михаил Брызгалов и др.</w:t>
      </w:r>
    </w:p>
    <w:p w:rsidR="0044531D" w:rsidRPr="002A1212" w:rsidRDefault="002A1212" w:rsidP="0044531D">
      <w:pPr>
        <w:spacing w:after="0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2A1212">
        <w:rPr>
          <w:rFonts w:ascii="Times New Roman" w:eastAsia="Calibri" w:hAnsi="Times New Roman"/>
          <w:sz w:val="26"/>
          <w:szCs w:val="26"/>
          <w:lang w:eastAsia="en-US"/>
        </w:rPr>
        <w:t>Прием з</w:t>
      </w:r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>аяв</w:t>
      </w:r>
      <w:r w:rsidRPr="002A1212">
        <w:rPr>
          <w:rFonts w:ascii="Times New Roman" w:eastAsia="Calibri" w:hAnsi="Times New Roman"/>
          <w:sz w:val="26"/>
          <w:szCs w:val="26"/>
          <w:lang w:eastAsia="en-US"/>
        </w:rPr>
        <w:t>ок</w:t>
      </w:r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 на участие в конкурсе-фестивале </w:t>
      </w:r>
      <w:r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продлен </w:t>
      </w:r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до </w:t>
      </w:r>
      <w:r w:rsidRPr="002A1212">
        <w:rPr>
          <w:rFonts w:ascii="Times New Roman" w:eastAsia="Calibri" w:hAnsi="Times New Roman"/>
          <w:b/>
          <w:sz w:val="26"/>
          <w:szCs w:val="26"/>
          <w:lang w:eastAsia="en-US"/>
        </w:rPr>
        <w:t>3</w:t>
      </w:r>
      <w:r w:rsidR="0044531D" w:rsidRPr="002A1212">
        <w:rPr>
          <w:rFonts w:ascii="Times New Roman" w:eastAsia="Calibri" w:hAnsi="Times New Roman"/>
          <w:b/>
          <w:sz w:val="26"/>
          <w:szCs w:val="26"/>
          <w:lang w:eastAsia="en-US"/>
        </w:rPr>
        <w:t>0 сентября 2020 года.</w:t>
      </w:r>
      <w:r w:rsidR="0044531D" w:rsidRPr="002A1212">
        <w:rPr>
          <w:rFonts w:ascii="Times New Roman" w:eastAsia="Calibri" w:hAnsi="Times New Roman"/>
          <w:b/>
          <w:bCs/>
          <w:i/>
          <w:sz w:val="26"/>
          <w:szCs w:val="26"/>
          <w:lang w:eastAsia="en-US"/>
        </w:rPr>
        <w:t xml:space="preserve"> </w:t>
      </w:r>
      <w:r w:rsidR="0044531D"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Участие в конкурсе бесплатное.</w:t>
      </w:r>
    </w:p>
    <w:p w:rsidR="0044531D" w:rsidRDefault="004741C1" w:rsidP="00485A5C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Кроме почетных званий лауреатов и дипломантов конкурса-фестиваля</w:t>
      </w:r>
      <w:r w:rsidR="0044531D"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,   памятны</w:t>
      </w: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х</w:t>
      </w:r>
      <w:r w:rsidR="0044531D"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диплом</w:t>
      </w: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ов</w:t>
      </w:r>
      <w:r w:rsidR="0044531D"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, приз</w:t>
      </w: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ов</w:t>
      </w:r>
      <w:r w:rsidR="0044531D"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подарк</w:t>
      </w: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ов, п</w:t>
      </w:r>
      <w:r w:rsidR="0044531D"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 решению жюри </w:t>
      </w: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будут </w:t>
      </w:r>
      <w:r w:rsidR="00091D3F"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присужда</w:t>
      </w:r>
      <w:r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>ть</w:t>
      </w:r>
      <w:r w:rsidR="00091D3F" w:rsidRPr="002A1212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ся специальные призы: </w:t>
      </w:r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>выступление в качестве солиста с Московским молодежным камерным оркестром в течение  концертного сезона; участие в мастер-классе председателя либо одного из членов жюри;</w:t>
      </w:r>
      <w:r w:rsidR="00485A5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выступление в концерте "Будущее большой музыки" на фестивале российско-итальянской культуры "Очи черные" в </w:t>
      </w:r>
      <w:proofErr w:type="spellStart"/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>г</w:t>
      </w:r>
      <w:proofErr w:type="gramStart"/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>.М</w:t>
      </w:r>
      <w:proofErr w:type="gramEnd"/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>онтекатини</w:t>
      </w:r>
      <w:proofErr w:type="spellEnd"/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 Терме, Италия.</w:t>
      </w:r>
    </w:p>
    <w:p w:rsidR="00F06207" w:rsidRPr="002A1212" w:rsidRDefault="00CC309F" w:rsidP="00485A5C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Помимо</w:t>
      </w:r>
      <w:r w:rsidR="00F06207">
        <w:rPr>
          <w:rFonts w:ascii="Times New Roman" w:eastAsia="Calibri" w:hAnsi="Times New Roman"/>
          <w:sz w:val="26"/>
          <w:szCs w:val="26"/>
          <w:lang w:eastAsia="en-US"/>
        </w:rPr>
        <w:t xml:space="preserve"> конкурсных прослушиваний, в программу конкурса-фестиваля </w:t>
      </w:r>
      <w:r w:rsidR="00D33445">
        <w:rPr>
          <w:rFonts w:ascii="Times New Roman" w:eastAsia="Calibri" w:hAnsi="Times New Roman"/>
          <w:sz w:val="26"/>
          <w:szCs w:val="26"/>
          <w:lang w:eastAsia="en-US"/>
        </w:rPr>
        <w:t>включены</w:t>
      </w:r>
      <w:r w:rsidR="00F06207">
        <w:rPr>
          <w:rFonts w:ascii="Times New Roman" w:eastAsia="Calibri" w:hAnsi="Times New Roman"/>
          <w:sz w:val="26"/>
          <w:szCs w:val="26"/>
          <w:lang w:eastAsia="en-US"/>
        </w:rPr>
        <w:t xml:space="preserve"> мастер-классы членов жюри, круглые столы и научная конференция, посвященные традициям</w:t>
      </w:r>
      <w:r w:rsidR="008B5C8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="008B5C8C">
        <w:rPr>
          <w:rFonts w:ascii="Times New Roman" w:eastAsia="Calibri" w:hAnsi="Times New Roman"/>
          <w:sz w:val="26"/>
          <w:szCs w:val="26"/>
          <w:lang w:eastAsia="en-US"/>
        </w:rPr>
        <w:t>ипполитовской</w:t>
      </w:r>
      <w:proofErr w:type="spellEnd"/>
      <w:r w:rsidR="008B5C8C">
        <w:rPr>
          <w:rFonts w:ascii="Times New Roman" w:eastAsia="Calibri" w:hAnsi="Times New Roman"/>
          <w:sz w:val="26"/>
          <w:szCs w:val="26"/>
          <w:lang w:eastAsia="en-US"/>
        </w:rPr>
        <w:t xml:space="preserve"> школы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 личности М.М. Ипполитова-Иванова</w:t>
      </w:r>
      <w:r w:rsidR="008B5C8C">
        <w:rPr>
          <w:rFonts w:ascii="Times New Roman" w:eastAsia="Calibri" w:hAnsi="Times New Roman"/>
          <w:sz w:val="26"/>
          <w:szCs w:val="26"/>
          <w:lang w:eastAsia="en-US"/>
        </w:rPr>
        <w:t>, выпуск видеофильма и юбилейного альбома, посвященн</w:t>
      </w:r>
      <w:r w:rsidR="00D33445">
        <w:rPr>
          <w:rFonts w:ascii="Times New Roman" w:eastAsia="Calibri" w:hAnsi="Times New Roman"/>
          <w:sz w:val="26"/>
          <w:szCs w:val="26"/>
          <w:lang w:eastAsia="en-US"/>
        </w:rPr>
        <w:t xml:space="preserve">ых </w:t>
      </w:r>
      <w:r w:rsidR="008B5C8C">
        <w:rPr>
          <w:rFonts w:ascii="Times New Roman" w:eastAsia="Calibri" w:hAnsi="Times New Roman"/>
          <w:sz w:val="26"/>
          <w:szCs w:val="26"/>
          <w:lang w:eastAsia="en-US"/>
        </w:rPr>
        <w:t>100</w:t>
      </w:r>
      <w:r w:rsidR="00D33445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8B5C8C">
        <w:rPr>
          <w:rFonts w:ascii="Times New Roman" w:eastAsia="Calibri" w:hAnsi="Times New Roman"/>
          <w:sz w:val="26"/>
          <w:szCs w:val="26"/>
          <w:lang w:eastAsia="en-US"/>
        </w:rPr>
        <w:t>летию ГМПИ имени М.М.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8B5C8C">
        <w:rPr>
          <w:rFonts w:ascii="Times New Roman" w:eastAsia="Calibri" w:hAnsi="Times New Roman"/>
          <w:sz w:val="26"/>
          <w:szCs w:val="26"/>
          <w:lang w:eastAsia="en-US"/>
        </w:rPr>
        <w:t>Ипполитова-Иванова.</w:t>
      </w:r>
    </w:p>
    <w:p w:rsidR="0044531D" w:rsidRPr="008B5C8C" w:rsidRDefault="00091D3F" w:rsidP="00091D3F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121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4741C1" w:rsidRPr="002A1212">
        <w:rPr>
          <w:rFonts w:ascii="Times New Roman" w:eastAsia="Calibri" w:hAnsi="Times New Roman"/>
          <w:sz w:val="26"/>
          <w:szCs w:val="26"/>
          <w:lang w:eastAsia="en-US"/>
        </w:rPr>
        <w:t>Более п</w:t>
      </w:r>
      <w:r w:rsidR="0044531D" w:rsidRPr="002A1212">
        <w:rPr>
          <w:rFonts w:ascii="Times New Roman" w:eastAsia="Calibri" w:hAnsi="Times New Roman"/>
          <w:sz w:val="26"/>
          <w:szCs w:val="26"/>
          <w:lang w:eastAsia="en-US"/>
        </w:rPr>
        <w:t xml:space="preserve">одробную информацию можно узнать на сайте конкурса—фестиваля </w:t>
      </w:r>
      <w:hyperlink r:id="rId8" w:history="1">
        <w:r w:rsidR="008B5C8C" w:rsidRPr="008B5C8C">
          <w:rPr>
            <w:rStyle w:val="a9"/>
            <w:rFonts w:ascii="Times New Roman" w:eastAsia="Calibri" w:hAnsi="Times New Roman"/>
            <w:b/>
            <w:color w:val="auto"/>
            <w:sz w:val="26"/>
            <w:szCs w:val="26"/>
            <w:u w:val="none"/>
            <w:lang w:eastAsia="en-US"/>
          </w:rPr>
          <w:t>www.goldtalent.ru</w:t>
        </w:r>
      </w:hyperlink>
      <w:r w:rsidR="008B5C8C" w:rsidRPr="008B5C8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21AB5" w:rsidRPr="00E02316" w:rsidRDefault="00521AB5" w:rsidP="00091D3F">
      <w:pPr>
        <w:spacing w:after="0"/>
        <w:ind w:firstLine="708"/>
        <w:jc w:val="both"/>
        <w:rPr>
          <w:rFonts w:ascii="Times New Roman" w:eastAsia="Calibri" w:hAnsi="Times New Roman"/>
          <w:b/>
          <w:bCs/>
          <w:i/>
          <w:sz w:val="26"/>
          <w:szCs w:val="26"/>
          <w:lang w:eastAsia="en-US"/>
        </w:rPr>
      </w:pPr>
    </w:p>
    <w:p w:rsidR="00091D3F" w:rsidRPr="008B5C8C" w:rsidRDefault="00091D3F" w:rsidP="00091D3F">
      <w:pPr>
        <w:spacing w:after="0"/>
        <w:ind w:firstLine="708"/>
        <w:jc w:val="both"/>
        <w:rPr>
          <w:rFonts w:ascii="Times New Roman" w:eastAsia="Calibri" w:hAnsi="Times New Roman"/>
          <w:bCs/>
          <w:sz w:val="26"/>
          <w:szCs w:val="26"/>
          <w:u w:val="single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541B3A" w:rsidRPr="002A1212" w:rsidTr="0030144A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A371FC" w:rsidRPr="002A1212" w:rsidRDefault="00A371FC" w:rsidP="001F2858">
            <w:pPr>
              <w:tabs>
                <w:tab w:val="left" w:pos="708"/>
                <w:tab w:val="left" w:pos="1416"/>
                <w:tab w:val="left" w:pos="2115"/>
              </w:tabs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41B3A" w:rsidRPr="002A1212" w:rsidRDefault="00541B3A" w:rsidP="00B402AF">
            <w:pPr>
              <w:spacing w:line="276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0F665C" w:rsidRPr="002A1212" w:rsidRDefault="00CC309F" w:rsidP="004741C1">
      <w:pPr>
        <w:rPr>
          <w:rFonts w:ascii="Times New Roman" w:hAnsi="Times New Roman"/>
          <w:iCs/>
          <w:sz w:val="26"/>
          <w:szCs w:val="26"/>
        </w:rPr>
      </w:pPr>
    </w:p>
    <w:sectPr w:rsidR="000F665C" w:rsidRPr="002A1212" w:rsidSect="003014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531A"/>
    <w:multiLevelType w:val="hybridMultilevel"/>
    <w:tmpl w:val="C01A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F7FE2"/>
    <w:multiLevelType w:val="hybridMultilevel"/>
    <w:tmpl w:val="C4B4D14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B0"/>
    <w:rsid w:val="00002649"/>
    <w:rsid w:val="00045AD1"/>
    <w:rsid w:val="00091D3F"/>
    <w:rsid w:val="00122164"/>
    <w:rsid w:val="00153C4C"/>
    <w:rsid w:val="001648F2"/>
    <w:rsid w:val="00186964"/>
    <w:rsid w:val="001E082F"/>
    <w:rsid w:val="001F2858"/>
    <w:rsid w:val="002A1212"/>
    <w:rsid w:val="002A7D84"/>
    <w:rsid w:val="002C671B"/>
    <w:rsid w:val="002F3D1C"/>
    <w:rsid w:val="0030144A"/>
    <w:rsid w:val="0044531D"/>
    <w:rsid w:val="004741C1"/>
    <w:rsid w:val="00485A5C"/>
    <w:rsid w:val="00492FD6"/>
    <w:rsid w:val="00510F1E"/>
    <w:rsid w:val="00514E2E"/>
    <w:rsid w:val="00521AB5"/>
    <w:rsid w:val="00541B3A"/>
    <w:rsid w:val="00590D93"/>
    <w:rsid w:val="005F509F"/>
    <w:rsid w:val="006471A1"/>
    <w:rsid w:val="006C01FB"/>
    <w:rsid w:val="006C6AAC"/>
    <w:rsid w:val="006E1F57"/>
    <w:rsid w:val="006F536A"/>
    <w:rsid w:val="00755239"/>
    <w:rsid w:val="00760153"/>
    <w:rsid w:val="00767C81"/>
    <w:rsid w:val="00792C7B"/>
    <w:rsid w:val="007A3128"/>
    <w:rsid w:val="007B149A"/>
    <w:rsid w:val="007C2A5D"/>
    <w:rsid w:val="0088694B"/>
    <w:rsid w:val="008A5CA8"/>
    <w:rsid w:val="008B5C8C"/>
    <w:rsid w:val="009C2216"/>
    <w:rsid w:val="00A371FC"/>
    <w:rsid w:val="00A421E9"/>
    <w:rsid w:val="00A53985"/>
    <w:rsid w:val="00A66633"/>
    <w:rsid w:val="00AB27BD"/>
    <w:rsid w:val="00AF4330"/>
    <w:rsid w:val="00B04CA8"/>
    <w:rsid w:val="00B26E39"/>
    <w:rsid w:val="00B3581E"/>
    <w:rsid w:val="00B402AF"/>
    <w:rsid w:val="00B5757A"/>
    <w:rsid w:val="00B877E5"/>
    <w:rsid w:val="00BB66B0"/>
    <w:rsid w:val="00C83764"/>
    <w:rsid w:val="00CB7388"/>
    <w:rsid w:val="00CC309F"/>
    <w:rsid w:val="00D060FF"/>
    <w:rsid w:val="00D14A9B"/>
    <w:rsid w:val="00D32F82"/>
    <w:rsid w:val="00D33445"/>
    <w:rsid w:val="00D3579B"/>
    <w:rsid w:val="00D46037"/>
    <w:rsid w:val="00D50EF8"/>
    <w:rsid w:val="00D7584C"/>
    <w:rsid w:val="00D8237F"/>
    <w:rsid w:val="00D8704E"/>
    <w:rsid w:val="00DC2E52"/>
    <w:rsid w:val="00E02316"/>
    <w:rsid w:val="00E1517A"/>
    <w:rsid w:val="00E515DC"/>
    <w:rsid w:val="00E848FF"/>
    <w:rsid w:val="00EB5030"/>
    <w:rsid w:val="00F06207"/>
    <w:rsid w:val="00F1337B"/>
    <w:rsid w:val="00F34CF7"/>
    <w:rsid w:val="00F44EC6"/>
    <w:rsid w:val="00FC0E90"/>
    <w:rsid w:val="00FD31BC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66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B6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B6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B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869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337B"/>
    <w:rPr>
      <w:color w:val="0000FF"/>
      <w:u w:val="single"/>
    </w:rPr>
  </w:style>
  <w:style w:type="table" w:styleId="aa">
    <w:name w:val="Table Grid"/>
    <w:basedOn w:val="a1"/>
    <w:uiPriority w:val="59"/>
    <w:rsid w:val="008A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66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B6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B6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B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869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337B"/>
    <w:rPr>
      <w:color w:val="0000FF"/>
      <w:u w:val="single"/>
    </w:rPr>
  </w:style>
  <w:style w:type="table" w:styleId="aa">
    <w:name w:val="Table Grid"/>
    <w:basedOn w:val="a1"/>
    <w:uiPriority w:val="59"/>
    <w:rsid w:val="008A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tale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ndri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</dc:creator>
  <cp:lastModifiedBy>Стоунч Алена Борисовна</cp:lastModifiedBy>
  <cp:revision>9</cp:revision>
  <cp:lastPrinted>2020-03-05T10:52:00Z</cp:lastPrinted>
  <dcterms:created xsi:type="dcterms:W3CDTF">2020-07-29T10:59:00Z</dcterms:created>
  <dcterms:modified xsi:type="dcterms:W3CDTF">2020-08-31T13:56:00Z</dcterms:modified>
</cp:coreProperties>
</file>